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RAN2#12</w:t>
      </w:r>
      <w:r>
        <w:rPr>
          <w:rFonts w:hint="eastAsia" w:ascii="Arial" w:hAnsi="Arial" w:eastAsia="宋体" w:cs="Arial"/>
          <w:b/>
          <w:bCs/>
          <w:sz w:val="22"/>
          <w:szCs w:val="22"/>
        </w:rPr>
        <w:t>3</w:t>
      </w:r>
      <w:r>
        <w:rPr>
          <w:rFonts w:hint="eastAsia" w:ascii="Arial" w:hAnsi="Arial" w:eastAsia="宋体" w:cs="Arial"/>
          <w:b/>
          <w:bCs/>
          <w:sz w:val="22"/>
          <w:szCs w:val="22"/>
          <w:lang w:val="en-US" w:eastAsia="zh-CN"/>
        </w:rPr>
        <w:t>bis</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-23</w:t>
      </w:r>
      <w:r>
        <w:rPr>
          <w:rFonts w:hint="eastAsia" w:ascii="Arial" w:hAnsi="Arial" w:eastAsia="宋体" w:cs="Arial"/>
          <w:b/>
          <w:bCs/>
          <w:sz w:val="22"/>
          <w:szCs w:val="22"/>
          <w:lang w:val="en-US" w:eastAsia="zh-CN"/>
        </w:rPr>
        <w:t>11089</w:t>
      </w:r>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lang w:val="en-US" w:eastAsia="zh-CN"/>
        </w:rPr>
        <w:t>Xiamen</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China</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Oct</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09</w:t>
      </w:r>
      <w:r>
        <w:rPr>
          <w:rFonts w:hint="eastAsia" w:ascii="Arial" w:hAnsi="Arial" w:eastAsia="宋体" w:cs="Arial"/>
          <w:b/>
          <w:bCs/>
          <w:sz w:val="22"/>
          <w:szCs w:val="22"/>
          <w:vertAlign w:val="superscript"/>
          <w:lang w:val="en-US" w:eastAsia="zh-CN"/>
        </w:rPr>
        <w:t>th</w:t>
      </w:r>
      <w:r>
        <w:rPr>
          <w:rFonts w:ascii="Arial" w:hAnsi="Arial" w:cs="Arial"/>
          <w:b/>
          <w:bCs/>
          <w:sz w:val="22"/>
          <w:szCs w:val="22"/>
          <w:lang w:eastAsia="ja-JP"/>
        </w:rPr>
        <w:t xml:space="preserve"> – </w:t>
      </w:r>
      <w:r>
        <w:rPr>
          <w:rFonts w:hint="eastAsia" w:ascii="Arial" w:hAnsi="Arial" w:eastAsia="宋体" w:cs="Arial"/>
          <w:b/>
          <w:bCs/>
          <w:sz w:val="22"/>
          <w:szCs w:val="22"/>
          <w:lang w:val="en-US" w:eastAsia="zh-CN"/>
        </w:rPr>
        <w:t>13</w:t>
      </w:r>
      <w:r>
        <w:rPr>
          <w:rFonts w:ascii="Arial" w:hAnsi="Arial" w:cs="Arial"/>
          <w:b/>
          <w:bCs/>
          <w:sz w:val="22"/>
          <w:szCs w:val="22"/>
          <w:vertAlign w:val="superscript"/>
          <w:lang w:eastAsia="ja-JP"/>
        </w:rPr>
        <w:t>th</w:t>
      </w:r>
      <w:r>
        <w:rPr>
          <w:rFonts w:ascii="Arial" w:hAnsi="Arial" w:cs="Arial"/>
          <w:b/>
          <w:bCs/>
          <w:sz w:val="22"/>
          <w:szCs w:val="22"/>
          <w:lang w:eastAsia="ja-JP"/>
        </w:rPr>
        <w:t>, 2023</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7.16.2.3</w:t>
      </w:r>
    </w:p>
    <w:p>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Further Discussion on Model Transfer/Delivery for AI/ML</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pPr>
      <w:r>
        <w:t>In RAN2#121 meeting, RAN2 have concluded 7 candidates of solutions for model transfer/delivery alternatives in [1], and also have a preliminary conclusion what use cases the candidates solutions can be used for.</w:t>
      </w:r>
    </w:p>
    <w:p>
      <w:pPr>
        <w:pStyle w:val="50"/>
        <w:spacing w:before="120" w:after="120"/>
      </w:pPr>
      <w:r>
        <w:t xml:space="preserve">Agreed: </w:t>
      </w:r>
    </w:p>
    <w:p>
      <w:pPr>
        <w:pStyle w:val="50"/>
        <w:spacing w:before="120" w:after="120"/>
      </w:pPr>
      <w:r>
        <w:t>Aim to at least analyze the feasibility and benefits of model/transfer solutions based on the following:</w:t>
      </w:r>
    </w:p>
    <w:p>
      <w:pPr>
        <w:pStyle w:val="50"/>
        <w:numPr>
          <w:ilvl w:val="2"/>
          <w:numId w:val="11"/>
        </w:numPr>
        <w:spacing w:before="120" w:after="120"/>
      </w:pPr>
      <w:r>
        <w:t>Solution 1a: gNB can transfer/deliver AI/ML model(s) to UE via RRC signalling.</w:t>
      </w:r>
    </w:p>
    <w:p>
      <w:pPr>
        <w:pStyle w:val="50"/>
        <w:numPr>
          <w:ilvl w:val="2"/>
          <w:numId w:val="11"/>
        </w:numPr>
        <w:spacing w:before="120" w:after="120"/>
      </w:pPr>
      <w:r>
        <w:t>Solution 2a: CN (except LMF) can transfer/deliver AI/ML model(s) to UE via NAS signalling.</w:t>
      </w:r>
    </w:p>
    <w:p>
      <w:pPr>
        <w:pStyle w:val="50"/>
        <w:numPr>
          <w:ilvl w:val="2"/>
          <w:numId w:val="11"/>
        </w:numPr>
        <w:spacing w:before="120" w:after="120"/>
      </w:pPr>
      <w:r>
        <w:t>Solution 3a: LMF can transfer/deliver AI/ML model(s) to UE via LPP signalling.</w:t>
      </w:r>
    </w:p>
    <w:p>
      <w:pPr>
        <w:pStyle w:val="50"/>
        <w:numPr>
          <w:ilvl w:val="2"/>
          <w:numId w:val="11"/>
        </w:numPr>
        <w:spacing w:before="120" w:after="120"/>
      </w:pPr>
      <w:r>
        <w:t>Solution 1b: gNB can transfer/deliver AI/ML model(s) to UE via UP data.</w:t>
      </w:r>
    </w:p>
    <w:p>
      <w:pPr>
        <w:pStyle w:val="50"/>
        <w:numPr>
          <w:ilvl w:val="2"/>
          <w:numId w:val="11"/>
        </w:numPr>
        <w:spacing w:before="120" w:after="120"/>
      </w:pPr>
      <w:r>
        <w:t>Solution 2b: CN (except LMF) can transfer/deliver AI/ML model(s) to UE via UP data</w:t>
      </w:r>
      <w:r>
        <w:rPr>
          <w:rFonts w:hint="eastAsia"/>
        </w:rPr>
        <w:t>.</w:t>
      </w:r>
    </w:p>
    <w:p>
      <w:pPr>
        <w:pStyle w:val="50"/>
        <w:numPr>
          <w:ilvl w:val="2"/>
          <w:numId w:val="11"/>
        </w:numPr>
        <w:spacing w:before="120" w:after="120"/>
      </w:pPr>
      <w:r>
        <w:t>Solution 3b: LMF can transfer/deliver AI/ML model(s) to UE via UP data</w:t>
      </w:r>
      <w:r>
        <w:rPr>
          <w:rFonts w:hint="eastAsia"/>
        </w:rPr>
        <w:t>.</w:t>
      </w:r>
    </w:p>
    <w:p>
      <w:pPr>
        <w:pStyle w:val="50"/>
        <w:numPr>
          <w:ilvl w:val="2"/>
          <w:numId w:val="11"/>
        </w:numPr>
        <w:spacing w:before="120" w:after="120"/>
      </w:pPr>
      <w:r>
        <w:t>Solution 4: Server (e.g. OAM, OTT) can transfer/delivery AI/ML model(s) to UE (e.g. transparent to 3GPP).</w:t>
      </w:r>
    </w:p>
    <w:p>
      <w:pPr>
        <w:spacing w:before="120" w:after="120"/>
        <w:jc w:val="center"/>
      </w:pPr>
      <w:r>
        <w:rPr>
          <w:b/>
        </w:rPr>
        <w:t>Table: relations between solutions and use cases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14"/>
        <w:gridCol w:w="6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rPr>
                <w:b/>
              </w:rPr>
            </w:pPr>
            <w:r>
              <w:rPr>
                <w:b/>
              </w:rPr>
              <w:t>Solutions</w:t>
            </w:r>
          </w:p>
        </w:tc>
        <w:tc>
          <w:tcPr>
            <w:tcW w:w="6515" w:type="dxa"/>
          </w:tcPr>
          <w:p>
            <w:pPr>
              <w:widowControl w:val="0"/>
              <w:spacing w:before="120" w:after="120"/>
              <w:rPr>
                <w:b/>
              </w:rPr>
            </w:pPr>
            <w:r>
              <w:rPr>
                <w:b/>
              </w:rPr>
              <w:t>Applicable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rPr>
                <w:rFonts w:hint="eastAsia"/>
              </w:rPr>
              <w:t>S</w:t>
            </w:r>
            <w:r>
              <w:t>olution 1a, 1b</w:t>
            </w:r>
          </w:p>
        </w:tc>
        <w:tc>
          <w:tcPr>
            <w:tcW w:w="6515" w:type="dxa"/>
          </w:tcPr>
          <w:p>
            <w:pPr>
              <w:widowControl w:val="0"/>
              <w:spacing w:before="120" w:after="120"/>
            </w:pPr>
            <w:r>
              <w:t>CSI feedback enhancement</w:t>
            </w:r>
          </w:p>
          <w:p>
            <w:pPr>
              <w:widowControl w:val="0"/>
              <w:spacing w:before="120" w:after="120"/>
            </w:pPr>
            <w:r>
              <w:t>Beam management</w:t>
            </w:r>
          </w:p>
          <w:p>
            <w:pPr>
              <w:widowControl w:val="0"/>
              <w:spacing w:before="120" w:after="120"/>
            </w:pPr>
            <w:r>
              <w:rPr>
                <w:rFonts w:hint="eastAsia"/>
              </w:rPr>
              <w:t>N</w:t>
            </w:r>
            <w:r>
              <w:t>ote: No specific considerations for Positioning accuracy enhancement for Solution 1a and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t>Solution 2a, 2b</w:t>
            </w:r>
          </w:p>
        </w:tc>
        <w:tc>
          <w:tcPr>
            <w:tcW w:w="6515" w:type="dxa"/>
          </w:tcPr>
          <w:p>
            <w:pPr>
              <w:widowControl w:val="0"/>
              <w:spacing w:before="120" w:after="120"/>
            </w:pPr>
            <w:r>
              <w:t>CSI feedback enhancement</w:t>
            </w:r>
          </w:p>
          <w:p>
            <w:pPr>
              <w:widowControl w:val="0"/>
              <w:spacing w:before="120" w:after="120"/>
            </w:pPr>
            <w:r>
              <w:t>Beam management</w:t>
            </w:r>
          </w:p>
          <w:p>
            <w:pPr>
              <w:widowControl w:val="0"/>
              <w:spacing w:before="120" w:after="120"/>
            </w:pPr>
            <w:r>
              <w:rPr>
                <w:rFonts w:hint="eastAsia"/>
              </w:rPr>
              <w:t>N</w:t>
            </w:r>
            <w:r>
              <w:t>ote: No specific considerations for Positioning accuracy enhancement for Solution 2a and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rPr>
                <w:rFonts w:hint="eastAsia"/>
              </w:rPr>
              <w:t>S</w:t>
            </w:r>
            <w:r>
              <w:t>olution 3a, 3b</w:t>
            </w:r>
          </w:p>
        </w:tc>
        <w:tc>
          <w:tcPr>
            <w:tcW w:w="6515" w:type="dxa"/>
          </w:tcPr>
          <w:p>
            <w:pPr>
              <w:widowControl w:val="0"/>
              <w:spacing w:before="120" w:after="120"/>
            </w:pPr>
            <w:r>
              <w:t>Positioning accuracy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t>Solution 4</w:t>
            </w:r>
          </w:p>
        </w:tc>
        <w:tc>
          <w:tcPr>
            <w:tcW w:w="6515" w:type="dxa"/>
          </w:tcPr>
          <w:p>
            <w:pPr>
              <w:widowControl w:val="0"/>
              <w:spacing w:before="120" w:after="120"/>
            </w:pPr>
            <w:r>
              <w:t>CSI feedback enhancement</w:t>
            </w:r>
          </w:p>
          <w:p>
            <w:pPr>
              <w:widowControl w:val="0"/>
              <w:spacing w:before="120" w:after="120"/>
            </w:pPr>
            <w:r>
              <w:t>Beam management</w:t>
            </w:r>
          </w:p>
          <w:p>
            <w:pPr>
              <w:widowControl w:val="0"/>
              <w:spacing w:before="120" w:after="120"/>
            </w:pPr>
            <w:r>
              <w:t>Positioning accuracy enhancement</w:t>
            </w:r>
          </w:p>
        </w:tc>
      </w:tr>
    </w:tbl>
    <w:p>
      <w:pPr>
        <w:snapToGrid w:val="0"/>
        <w:spacing w:before="72" w:beforeLines="30" w:after="72" w:afterLines="30" w:line="288" w:lineRule="auto"/>
      </w:pPr>
      <w:r>
        <w:t>Note: the solutions use case relation is preliminary (work in progress), and the purpose is to have better understanding on what to further analysis.</w:t>
      </w:r>
    </w:p>
    <w:p>
      <w:pPr>
        <w:snapToGrid w:val="0"/>
        <w:spacing w:before="72" w:beforeLines="30" w:after="72" w:afterLines="30" w:line="288" w:lineRule="auto"/>
        <w:rPr>
          <w:rFonts w:eastAsiaTheme="minorEastAsia"/>
        </w:rPr>
      </w:pPr>
    </w:p>
    <w:p>
      <w:pPr>
        <w:spacing w:before="120" w:after="120"/>
        <w:rPr>
          <w:rFonts w:eastAsiaTheme="minorEastAsia"/>
        </w:rPr>
      </w:pPr>
      <w:r>
        <w:rPr>
          <w:rFonts w:hint="eastAsia" w:eastAsiaTheme="minorEastAsia"/>
        </w:rPr>
        <w:t>M</w:t>
      </w:r>
      <w:r>
        <w:rPr>
          <w:rFonts w:eastAsiaTheme="minorEastAsia"/>
        </w:rPr>
        <w:t>eanwhile,</w:t>
      </w:r>
      <w:r>
        <w:rPr>
          <w:rFonts w:hint="eastAsia" w:eastAsiaTheme="minorEastAsia"/>
          <w:lang w:val="en-US" w:eastAsia="zh-CN"/>
        </w:rPr>
        <w:t>the functionality mapping for model training has been determined in [1]</w:t>
      </w:r>
      <w:r>
        <w:rPr>
          <w:rFonts w:eastAsiaTheme="minorEastAsia"/>
        </w:rPr>
        <w:t>, it is believed that the outcome of functionality mapping discussion can facilitate the study of model transfer/delivery. In this contribution, we will analyze the model transfer in combination of the post-email discussion and share our views about the futher model transfer/delivery study in RAN2.</w:t>
      </w:r>
    </w:p>
    <w:p>
      <w:pPr>
        <w:snapToGrid w:val="0"/>
        <w:spacing w:before="72" w:beforeLines="30" w:after="72" w:afterLines="30" w:line="288" w:lineRule="auto"/>
        <w:rPr>
          <w:rFonts w:eastAsiaTheme="minorEastAsia"/>
        </w:rPr>
      </w:pPr>
    </w:p>
    <w:p>
      <w:pPr>
        <w:pStyle w:val="2"/>
        <w:spacing w:before="72" w:beforeLines="30" w:after="72" w:afterLines="30" w:line="288" w:lineRule="auto"/>
      </w:pPr>
      <w:r>
        <w:t>Discussion</w:t>
      </w:r>
      <w:r>
        <w:rPr>
          <w:rFonts w:eastAsiaTheme="minorEastAsia"/>
        </w:rPr>
        <w:t xml:space="preserve"> </w:t>
      </w:r>
    </w:p>
    <w:p>
      <w:pPr>
        <w:pStyle w:val="3"/>
      </w:pPr>
      <w:r>
        <w:rPr>
          <w:rFonts w:hint="eastAsia"/>
        </w:rPr>
        <w:t>S</w:t>
      </w:r>
      <w:r>
        <w:t>olution 1a/1b</w:t>
      </w:r>
    </w:p>
    <w:p>
      <w:pPr>
        <w:spacing w:before="120" w:after="120"/>
        <w:rPr>
          <w:rFonts w:eastAsiaTheme="minorEastAsia"/>
        </w:rPr>
      </w:pPr>
      <w:r>
        <w:rPr>
          <w:rFonts w:eastAsiaTheme="minorEastAsia"/>
        </w:rPr>
        <w:t xml:space="preserve">Solution 1a/1b is the solution for the model transfer between UE and gNB, and </w:t>
      </w:r>
      <w:r>
        <w:rPr>
          <w:rFonts w:hint="eastAsia" w:eastAsiaTheme="minorEastAsia"/>
          <w:lang w:val="en-US" w:eastAsia="zh-CN"/>
        </w:rPr>
        <w:t>in</w:t>
      </w:r>
      <w:r>
        <w:rPr>
          <w:rFonts w:eastAsiaTheme="minorEastAsia"/>
        </w:rPr>
        <w:t xml:space="preserve"> [1], the model transfer between UE and gNB is at least needed for type 1 training of CSI feedback enhancement.</w:t>
      </w:r>
    </w:p>
    <w:p>
      <w:pPr>
        <w:pStyle w:val="4"/>
      </w:pPr>
      <w:r>
        <w:rPr>
          <w:rFonts w:hint="eastAsia"/>
        </w:rPr>
        <w:t>S</w:t>
      </w:r>
      <w:r>
        <w:t>olution 1a</w:t>
      </w:r>
    </w:p>
    <w:p>
      <w:pPr>
        <w:spacing w:before="120" w:after="120"/>
        <w:rPr>
          <w:rFonts w:eastAsiaTheme="minorEastAsia"/>
        </w:rPr>
      </w:pPr>
      <w:r>
        <w:rPr>
          <w:rFonts w:eastAsiaTheme="minorEastAsia"/>
        </w:rPr>
        <w:t xml:space="preserve">Regarding solution 1a, the UL/DL RRC message is intuitively used for model transfer between UE and gNB, however, the data bearer capability for one RRC message is quite limited, for example, the maximum size of DL RRC Message 360Kb while the maximum size of UL RRC message is 1152Kb. The limited RRC message </w:t>
      </w:r>
      <w:r>
        <w:rPr>
          <w:rFonts w:hint="eastAsia" w:eastAsiaTheme="minorEastAsia"/>
          <w:lang w:val="en-US" w:eastAsia="zh-CN"/>
        </w:rPr>
        <w:t xml:space="preserve">maximum </w:t>
      </w:r>
      <w:r>
        <w:rPr>
          <w:rFonts w:eastAsiaTheme="minorEastAsia"/>
        </w:rPr>
        <w:t xml:space="preserve">size is the main shortage for model transfer </w:t>
      </w:r>
      <w:r>
        <w:rPr>
          <w:rFonts w:hint="eastAsia" w:eastAsiaTheme="minorEastAsia"/>
          <w:lang w:val="en-US" w:eastAsia="zh-CN"/>
        </w:rPr>
        <w:t>while</w:t>
      </w:r>
      <w:r>
        <w:rPr>
          <w:rFonts w:eastAsiaTheme="minorEastAsia"/>
        </w:rPr>
        <w:t xml:space="preserve"> the advantage is the current RRC signaling transmission framework is mature which is the only path terminated between UE and gNB. In this sense, for dealing with the limitation of maximum size for one RRC message. we suggest to discuss the extension of maximum size of DL/UL RRC message, that is, to increase the number of segments for both DL and UL RRC message. How many segments should be extended to is relying on the popular model size which should be determined by RAN1. </w:t>
      </w:r>
    </w:p>
    <w:p>
      <w:pPr>
        <w:pStyle w:val="23"/>
        <w:spacing w:before="72" w:after="72"/>
      </w:pPr>
      <w:bookmarkStart w:id="0" w:name="_Toc3171"/>
      <w:r>
        <w:rPr>
          <w:i w:val="0"/>
        </w:rPr>
        <w:t>For solution 1a,</w:t>
      </w:r>
      <w:r>
        <w:t xml:space="preserve"> </w:t>
      </w:r>
      <w:r>
        <w:rPr>
          <w:i w:val="0"/>
        </w:rPr>
        <w:t>RAN2 assume the number of segments for UL/DL RRC message should be increased by taking the popular model size for each sub-use case in consideration.</w:t>
      </w:r>
      <w:bookmarkEnd w:id="0"/>
    </w:p>
    <w:p>
      <w:pPr>
        <w:spacing w:before="120" w:after="120"/>
        <w:rPr>
          <w:rFonts w:eastAsiaTheme="minorEastAsia"/>
        </w:rPr>
      </w:pPr>
      <w:r>
        <w:rPr>
          <w:rFonts w:eastAsiaTheme="minorEastAsia"/>
        </w:rPr>
        <w:t xml:space="preserve">In addition, the model transfer may occupy the radio bearer for a long time which may delay other important RRC message transmission if the model transfer and some RRC message share </w:t>
      </w:r>
      <w:r>
        <w:rPr>
          <w:rFonts w:hint="eastAsia" w:eastAsiaTheme="minorEastAsia"/>
          <w:lang w:val="en-US" w:eastAsia="zh-CN"/>
        </w:rPr>
        <w:t>one</w:t>
      </w:r>
      <w:r>
        <w:rPr>
          <w:rFonts w:eastAsiaTheme="minorEastAsia"/>
        </w:rPr>
        <w:t xml:space="preserve"> bearer. Hence</w:t>
      </w:r>
    </w:p>
    <w:p>
      <w:pPr>
        <w:pStyle w:val="23"/>
        <w:spacing w:before="72" w:after="72"/>
      </w:pPr>
      <w:bookmarkStart w:id="1" w:name="_Toc14859"/>
      <w:r>
        <w:rPr>
          <w:i w:val="0"/>
        </w:rPr>
        <w:t>For solution 1a, RAN2 assume a new SRB would be introduced for model transfer between UE and gNB.</w:t>
      </w:r>
      <w:bookmarkEnd w:id="1"/>
    </w:p>
    <w:p>
      <w:pPr>
        <w:pStyle w:val="4"/>
      </w:pPr>
      <w:r>
        <w:rPr>
          <w:rFonts w:hint="eastAsia"/>
        </w:rPr>
        <w:t>S</w:t>
      </w:r>
      <w:r>
        <w:t>olution 1b</w:t>
      </w:r>
    </w:p>
    <w:p>
      <w:pPr>
        <w:spacing w:before="120" w:after="120"/>
        <w:rPr>
          <w:rFonts w:eastAsiaTheme="minorEastAsia"/>
        </w:rPr>
      </w:pPr>
      <w:r>
        <w:rPr>
          <w:rFonts w:hint="eastAsia" w:eastAsiaTheme="minorEastAsia"/>
        </w:rPr>
        <w:t>R</w:t>
      </w:r>
      <w:r>
        <w:rPr>
          <w:rFonts w:eastAsiaTheme="minorEastAsia"/>
        </w:rPr>
        <w:t>egarding solution 1b, there is no any UP tunnel terminated between UE and gNB so far as now. Generally speaking, if the UP solution is supported, we have two directions:</w:t>
      </w:r>
    </w:p>
    <w:p>
      <w:pPr>
        <w:pStyle w:val="31"/>
        <w:numPr>
          <w:ilvl w:val="0"/>
          <w:numId w:val="12"/>
        </w:numPr>
        <w:spacing w:before="120" w:after="120"/>
        <w:rPr>
          <w:rFonts w:eastAsiaTheme="minorEastAsia"/>
        </w:rPr>
      </w:pPr>
      <w:r>
        <w:rPr>
          <w:rFonts w:eastAsiaTheme="minorEastAsia"/>
        </w:rPr>
        <w:t xml:space="preserve">Option </w:t>
      </w:r>
      <w:r>
        <w:rPr>
          <w:rFonts w:hint="eastAsia" w:eastAsiaTheme="minorEastAsia"/>
        </w:rPr>
        <w:t>1</w:t>
      </w:r>
      <w:r>
        <w:rPr>
          <w:rFonts w:eastAsiaTheme="minorEastAsia"/>
        </w:rPr>
        <w:t>: Change the current protocol stack to introduce a UP tunnel terminated between UE and gNB.</w:t>
      </w:r>
    </w:p>
    <w:p>
      <w:pPr>
        <w:pStyle w:val="31"/>
        <w:numPr>
          <w:ilvl w:val="0"/>
          <w:numId w:val="12"/>
        </w:numPr>
        <w:spacing w:before="120" w:after="120"/>
        <w:rPr>
          <w:rFonts w:eastAsiaTheme="minorEastAsia"/>
        </w:rPr>
      </w:pPr>
      <w:r>
        <w:rPr>
          <w:rFonts w:eastAsiaTheme="minorEastAsia"/>
        </w:rPr>
        <w:t xml:space="preserve">Option </w:t>
      </w:r>
      <w:r>
        <w:rPr>
          <w:rFonts w:hint="eastAsia" w:eastAsiaTheme="minorEastAsia"/>
        </w:rPr>
        <w:t>2</w:t>
      </w:r>
      <w:r>
        <w:rPr>
          <w:rFonts w:eastAsiaTheme="minorEastAsia"/>
        </w:rPr>
        <w:t>: Utilize the UP path between UE and CN, then CN forward the data to gNB/UE</w:t>
      </w:r>
    </w:p>
    <w:p>
      <w:pPr>
        <w:spacing w:before="120" w:after="120"/>
        <w:rPr>
          <w:rFonts w:eastAsiaTheme="minorEastAsia"/>
        </w:rPr>
      </w:pPr>
      <w:r>
        <w:rPr>
          <w:rFonts w:eastAsiaTheme="minorEastAsia"/>
        </w:rPr>
        <w:t>In option 1, the protocol stack change may bring the huge workload in the remaining SI stage as well as WI stage. It is not a good idea to have some kind of protocol stack change by the end of NR.</w:t>
      </w:r>
    </w:p>
    <w:p>
      <w:pPr>
        <w:spacing w:before="120" w:after="120"/>
        <w:rPr>
          <w:rFonts w:eastAsiaTheme="minorEastAsia"/>
        </w:rPr>
      </w:pPr>
      <w:r>
        <w:rPr>
          <w:rFonts w:hint="eastAsia" w:eastAsiaTheme="minorEastAsia"/>
        </w:rPr>
        <w:t>I</w:t>
      </w:r>
      <w:r>
        <w:rPr>
          <w:rFonts w:eastAsiaTheme="minorEastAsia"/>
        </w:rPr>
        <w:t>n option 2, Our concern is that the signaling overhead caused by the UP data of model transfer, that is, the AI model shall be transferred to UPF and then forwarded to gNB via AMF, vise versa. It literally need SA2 to confirm the feasibility. Considering SA2 does not get involved in SI stage and RAN2 is not able to evaluate such option, not mention to give out a description to describe how to implement this option.</w:t>
      </w:r>
    </w:p>
    <w:p>
      <w:pPr>
        <w:spacing w:before="120" w:after="120"/>
        <w:rPr>
          <w:rFonts w:eastAsiaTheme="minorEastAsia"/>
        </w:rPr>
      </w:pPr>
      <w:r>
        <w:rPr>
          <w:rFonts w:eastAsiaTheme="minorEastAsia"/>
        </w:rPr>
        <w:t xml:space="preserve">In summation, either option described above seems not workable in SI stage, in this sense, we propose: </w:t>
      </w:r>
    </w:p>
    <w:p>
      <w:pPr>
        <w:pStyle w:val="23"/>
        <w:spacing w:before="72" w:after="72"/>
      </w:pPr>
      <w:bookmarkStart w:id="2" w:name="_Toc2948"/>
      <w:r>
        <w:rPr>
          <w:i w:val="0"/>
        </w:rPr>
        <w:t>In NR, the model transfer/delivery between UE and gNB via UP data is not supported.</w:t>
      </w:r>
      <w:bookmarkEnd w:id="2"/>
    </w:p>
    <w:p>
      <w:pPr>
        <w:spacing w:before="120" w:after="120"/>
        <w:rPr>
          <w:rFonts w:eastAsiaTheme="minorEastAsia"/>
        </w:rPr>
      </w:pPr>
    </w:p>
    <w:p>
      <w:pPr>
        <w:pStyle w:val="3"/>
      </w:pPr>
      <w:r>
        <w:rPr>
          <w:rFonts w:hint="eastAsia"/>
        </w:rPr>
        <w:t>S</w:t>
      </w:r>
      <w:r>
        <w:t>olution 2a/2b</w:t>
      </w:r>
    </w:p>
    <w:p>
      <w:pPr>
        <w:spacing w:before="120" w:after="120"/>
        <w:rPr>
          <w:rFonts w:eastAsiaTheme="minorEastAsia"/>
        </w:rPr>
      </w:pPr>
      <w:r>
        <w:rPr>
          <w:rFonts w:eastAsiaTheme="minorEastAsia"/>
        </w:rPr>
        <w:t xml:space="preserve">According to the table at the beginning of the contribution, the model transfer/delivery between UE and CN is applied for the case of AI based CSI feedback and BM, and according to the post-email discussion [1], majority companies think the CN is not a logical entity that is mapping to the model training of AI based CSI feedback and BM while minority companies still believe it can be, then issue is left with FFS, and correspondingly, the model transfer between UE and CN is left with FFS as well. </w:t>
      </w:r>
    </w:p>
    <w:p>
      <w:pPr>
        <w:pStyle w:val="25"/>
        <w:spacing w:before="72" w:after="72"/>
      </w:pPr>
      <w:r>
        <w:t xml:space="preserve"> </w:t>
      </w:r>
      <w:bookmarkStart w:id="3" w:name="_Toc7444"/>
      <w:r>
        <w:t>It is FFS that CN is a logical entity mapping to the model training as well as model transfer between UE and CN.</w:t>
      </w:r>
      <w:bookmarkEnd w:id="3"/>
    </w:p>
    <w:p>
      <w:pPr>
        <w:spacing w:before="120" w:after="120"/>
        <w:rPr>
          <w:rFonts w:eastAsiaTheme="minorEastAsia"/>
        </w:rPr>
      </w:pPr>
      <w:r>
        <w:rPr>
          <w:rFonts w:eastAsiaTheme="minorEastAsia"/>
        </w:rPr>
        <w:t>Hence the solution 2a/2b shall be pending until the conclusion of the FFS in observation 1 can be concluded.</w:t>
      </w:r>
    </w:p>
    <w:p>
      <w:pPr>
        <w:pStyle w:val="23"/>
        <w:spacing w:before="72" w:after="72"/>
      </w:pPr>
      <w:r>
        <w:rPr>
          <w:i w:val="0"/>
        </w:rPr>
        <w:t xml:space="preserve"> </w:t>
      </w:r>
      <w:bookmarkStart w:id="4" w:name="_Toc4344"/>
      <w:r>
        <w:rPr>
          <w:i w:val="0"/>
        </w:rPr>
        <w:t>the model transfer/delivery between UE and CN is deprioritized until the conclusion about the CN mapping to model training of AI based CSI/BM is reached.</w:t>
      </w:r>
      <w:bookmarkEnd w:id="4"/>
      <w:r>
        <w:rPr>
          <w:i w:val="0"/>
        </w:rPr>
        <w:t xml:space="preserve"> </w:t>
      </w:r>
    </w:p>
    <w:p>
      <w:pPr>
        <w:spacing w:before="120" w:after="120"/>
        <w:rPr>
          <w:rFonts w:eastAsiaTheme="minorEastAsia"/>
        </w:rPr>
      </w:pPr>
    </w:p>
    <w:p>
      <w:pPr>
        <w:pStyle w:val="3"/>
      </w:pPr>
      <w:r>
        <w:rPr>
          <w:rFonts w:hint="eastAsia"/>
        </w:rPr>
        <w:t>S</w:t>
      </w:r>
      <w:r>
        <w:t>olution 3a/3b</w:t>
      </w:r>
    </w:p>
    <w:p>
      <w:pPr>
        <w:spacing w:before="120" w:after="120"/>
        <w:rPr>
          <w:rFonts w:eastAsiaTheme="minorEastAsia"/>
        </w:rPr>
      </w:pPr>
      <w:r>
        <w:rPr>
          <w:rFonts w:eastAsiaTheme="minorEastAsia"/>
        </w:rPr>
        <w:t xml:space="preserve">Regarding the solution 3a/3b, according to [1], it is applied for the case 1 and case 2a of AI based positioning, if applicable. </w:t>
      </w:r>
    </w:p>
    <w:p>
      <w:pPr>
        <w:pStyle w:val="31"/>
        <w:numPr>
          <w:ilvl w:val="0"/>
          <w:numId w:val="13"/>
        </w:numPr>
        <w:spacing w:before="120" w:after="120"/>
        <w:rPr>
          <w:rFonts w:eastAsiaTheme="minorEastAsia"/>
        </w:rPr>
      </w:pPr>
      <w:r>
        <w:rPr>
          <w:rFonts w:eastAsiaTheme="minorEastAsia"/>
        </w:rPr>
        <w:t>Case 1: UE-based positioning with UE-side model, direct AI/ML or AI/ML assisted positioning</w:t>
      </w:r>
    </w:p>
    <w:p>
      <w:pPr>
        <w:pStyle w:val="31"/>
        <w:numPr>
          <w:ilvl w:val="0"/>
          <w:numId w:val="13"/>
        </w:numPr>
        <w:spacing w:before="120" w:after="120"/>
        <w:rPr>
          <w:rFonts w:eastAsiaTheme="minorEastAsia"/>
        </w:rPr>
      </w:pPr>
      <w:r>
        <w:rPr>
          <w:rFonts w:hint="eastAsia" w:eastAsiaTheme="minorEastAsia"/>
        </w:rPr>
        <w:t>C</w:t>
      </w:r>
      <w:r>
        <w:rPr>
          <w:rFonts w:eastAsiaTheme="minorEastAsia"/>
        </w:rPr>
        <w:t>ase 2a: UE-assisted/LMF-based positioning with UE-side model, AI/ML assisted positioning</w:t>
      </w:r>
    </w:p>
    <w:p>
      <w:pPr>
        <w:pStyle w:val="4"/>
      </w:pPr>
      <w:r>
        <w:rPr>
          <w:rFonts w:hint="eastAsia"/>
        </w:rPr>
        <w:t>S</w:t>
      </w:r>
      <w:r>
        <w:t>olution 3a</w:t>
      </w:r>
    </w:p>
    <w:p>
      <w:pPr>
        <w:spacing w:before="120" w:after="120"/>
        <w:rPr>
          <w:rFonts w:eastAsiaTheme="minorEastAsia"/>
        </w:rPr>
      </w:pPr>
      <w:r>
        <w:rPr>
          <w:rFonts w:eastAsiaTheme="minorEastAsia"/>
        </w:rPr>
        <w:t>Solution 3a is model transfer between UE and LMF via LPP signaling, and the current LPP signaling framework is mature to be used, and considering sequence number is included in the LPP message, the size of AI model is no longer a big issue (note</w:t>
      </w:r>
      <w:r>
        <w:rPr>
          <w:rFonts w:hint="eastAsia" w:eastAsiaTheme="minorEastAsia"/>
        </w:rPr>
        <w:t>：</w:t>
      </w:r>
      <w:r>
        <w:rPr>
          <w:rFonts w:eastAsiaTheme="minorEastAsia"/>
        </w:rPr>
        <w:t>The LPP message can support up to 18.432Mb without segmentation). And the LPP signaling is a kind of guaranteed transmission (e.g. ACK mechanism is supported for the data loss). In this sense, RAN2 can confirm the model transfer between UE and LMF via LPP signaling is supposed to be workable, and leave the detail discussion to SA2 in WI stage.</w:t>
      </w:r>
    </w:p>
    <w:p>
      <w:pPr>
        <w:pStyle w:val="23"/>
        <w:spacing w:before="72" w:after="72"/>
      </w:pPr>
      <w:bookmarkStart w:id="5" w:name="_Toc14193"/>
      <w:bookmarkStart w:id="6" w:name="_Hlk142516166"/>
      <w:r>
        <w:rPr>
          <w:rFonts w:hint="eastAsia"/>
          <w:i w:val="0"/>
        </w:rPr>
        <w:t>R</w:t>
      </w:r>
      <w:r>
        <w:rPr>
          <w:i w:val="0"/>
        </w:rPr>
        <w:t>AN 2 assume the model transfer between UE and LMF via LPP signalling, if applicable, is supposed to be workable, and leave the detail discussion to SA2 in WI stage.</w:t>
      </w:r>
      <w:bookmarkEnd w:id="5"/>
    </w:p>
    <w:bookmarkEnd w:id="6"/>
    <w:p>
      <w:pPr>
        <w:spacing w:before="120" w:after="120"/>
        <w:rPr>
          <w:rFonts w:eastAsiaTheme="minorEastAsia"/>
        </w:rPr>
      </w:pPr>
    </w:p>
    <w:p>
      <w:pPr>
        <w:spacing w:before="120" w:after="120"/>
        <w:rPr>
          <w:rFonts w:eastAsiaTheme="minorEastAsia"/>
        </w:rPr>
      </w:pPr>
    </w:p>
    <w:p>
      <w:pPr>
        <w:pStyle w:val="4"/>
      </w:pPr>
      <w:r>
        <w:rPr>
          <w:rFonts w:hint="eastAsia"/>
        </w:rPr>
        <w:t>S</w:t>
      </w:r>
      <w:r>
        <w:t>olution 3b</w:t>
      </w:r>
    </w:p>
    <w:p>
      <w:pPr>
        <w:spacing w:before="120" w:after="120"/>
        <w:rPr>
          <w:rFonts w:eastAsiaTheme="minorEastAsia"/>
        </w:rPr>
      </w:pPr>
      <w:r>
        <w:rPr>
          <w:rFonts w:eastAsiaTheme="minorEastAsia"/>
        </w:rPr>
        <w:t>According to the current TS 23.273, the UP connection between UE and LMF has been supported, the general description is shown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50" w:type="dxa"/>
          </w:tcPr>
          <w:p>
            <w:pPr>
              <w:widowControl w:val="0"/>
              <w:spacing w:before="120" w:after="120"/>
              <w:rPr>
                <w:b/>
                <w:kern w:val="0"/>
                <w:sz w:val="22"/>
              </w:rPr>
            </w:pPr>
            <w:bookmarkStart w:id="7" w:name="_Toc138251296"/>
            <w:r>
              <w:rPr>
                <w:b/>
                <w:sz w:val="22"/>
              </w:rPr>
              <w:t>6.18.0</w:t>
            </w:r>
            <w:r>
              <w:rPr>
                <w:b/>
                <w:sz w:val="22"/>
              </w:rPr>
              <w:tab/>
            </w:r>
            <w:r>
              <w:rPr>
                <w:b/>
                <w:sz w:val="22"/>
              </w:rPr>
              <w:t xml:space="preserve"> General</w:t>
            </w:r>
            <w:bookmarkEnd w:id="7"/>
          </w:p>
          <w:p>
            <w:pPr>
              <w:widowControl w:val="0"/>
              <w:spacing w:before="120" w:after="120"/>
            </w:pPr>
            <w:r>
              <w:t>Clause 6.18 describes the management of the user plane connection between UE and LMF. LMF or UE may trigger the establishment of the user plane connection.</w:t>
            </w:r>
          </w:p>
          <w:p>
            <w:pPr>
              <w:widowControl w:val="0"/>
              <w:spacing w:before="120" w:after="120"/>
            </w:pPr>
            <w:r>
              <w:t>UE and LMF may maintain the established user plane connection. LMF may modify or terminate the established user plane connection between UE and LMF.</w:t>
            </w:r>
          </w:p>
          <w:p>
            <w:pPr>
              <w:widowControl w:val="0"/>
              <w:spacing w:before="120" w:after="120"/>
              <w:rPr>
                <w:b/>
                <w:bCs/>
              </w:rPr>
            </w:pPr>
            <w:r>
              <w:rPr>
                <w:b/>
                <w:bCs/>
              </w:rPr>
              <w:t>Precondition:</w:t>
            </w:r>
          </w:p>
          <w:p>
            <w:pPr>
              <w:widowControl w:val="0"/>
              <w:spacing w:before="120" w:after="120"/>
              <w:rPr>
                <w:rFonts w:eastAsiaTheme="minorEastAsia"/>
              </w:rPr>
            </w:pPr>
            <w: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tc>
      </w:tr>
    </w:tbl>
    <w:p>
      <w:pPr>
        <w:spacing w:before="120" w:after="120"/>
        <w:rPr>
          <w:rFonts w:eastAsiaTheme="minorEastAsia"/>
        </w:rPr>
      </w:pPr>
      <w:r>
        <w:rPr>
          <w:rFonts w:eastAsiaTheme="minorEastAsia"/>
        </w:rPr>
        <w:t xml:space="preserve">The above description has demonstrated the UP connection has been supported for the UP data transmission between UE and LMF. RAN2 can confirm it in the TR if model transfer between UE and LMF is applicable, and leave the detail work to SA2 in the WI stage. </w:t>
      </w:r>
    </w:p>
    <w:p>
      <w:pPr>
        <w:pStyle w:val="23"/>
        <w:spacing w:before="72" w:after="72"/>
      </w:pPr>
      <w:bookmarkStart w:id="8" w:name="_Toc29239"/>
      <w:r>
        <w:rPr>
          <w:rFonts w:hint="eastAsia"/>
          <w:i w:val="0"/>
        </w:rPr>
        <w:t>R</w:t>
      </w:r>
      <w:r>
        <w:rPr>
          <w:i w:val="0"/>
        </w:rPr>
        <w:t>AN 2 assumes the model transfer between UE and LMF via UP data, if applicable, is supposed to be workable, and leave the detail discussion to SA2 in WI stage.</w:t>
      </w:r>
      <w:bookmarkEnd w:id="8"/>
    </w:p>
    <w:p>
      <w:pPr>
        <w:spacing w:before="120" w:after="120"/>
        <w:rPr>
          <w:rFonts w:eastAsiaTheme="minorEastAsia"/>
        </w:rPr>
      </w:pPr>
    </w:p>
    <w:p>
      <w:pPr>
        <w:pStyle w:val="3"/>
      </w:pPr>
      <w:r>
        <w:rPr>
          <w:rFonts w:hint="eastAsia"/>
        </w:rPr>
        <w:t>S</w:t>
      </w:r>
      <w:r>
        <w:t>olution 4</w:t>
      </w:r>
    </w:p>
    <w:p>
      <w:pPr>
        <w:spacing w:before="120" w:after="120"/>
      </w:pPr>
      <w:r>
        <w:t>Regarding the solution 4, the OAM is added into the solution in the RAN2#121 meeting, but the contents in the bracket is still that the transparent to 3GPP. After we evaluation, the model transfer/delivery cannot be totally transparent to 3GPP. There are some reasons as below:</w:t>
      </w:r>
    </w:p>
    <w:p>
      <w:pPr>
        <w:pStyle w:val="31"/>
        <w:widowControl w:val="0"/>
        <w:numPr>
          <w:ilvl w:val="0"/>
          <w:numId w:val="14"/>
        </w:numPr>
        <w:spacing w:before="120" w:after="120" w:afterLines="0" w:line="259" w:lineRule="auto"/>
        <w:contextualSpacing w:val="0"/>
      </w:pPr>
      <w:r>
        <w:rPr>
          <w:rFonts w:hint="eastAsia"/>
        </w:rPr>
        <w:t>M</w:t>
      </w:r>
      <w:r>
        <w:t>odel transfer between UE and OAM is under the control of the NW.</w:t>
      </w:r>
    </w:p>
    <w:p>
      <w:pPr>
        <w:pStyle w:val="31"/>
        <w:widowControl w:val="0"/>
        <w:numPr>
          <w:ilvl w:val="0"/>
          <w:numId w:val="14"/>
        </w:numPr>
        <w:spacing w:before="120" w:after="120" w:afterLines="0" w:line="259" w:lineRule="auto"/>
        <w:contextualSpacing w:val="0"/>
      </w:pPr>
      <w:r>
        <w:t>OAM is a device that is studied in SA5 which cannot be considered as transparent to 3GPP.</w:t>
      </w:r>
    </w:p>
    <w:p>
      <w:pPr>
        <w:spacing w:before="120" w:after="120"/>
      </w:pPr>
      <w:r>
        <w:t>With above listed reason, it is hard to say it is transparent to 3GPP if the OAM is an endpoint of the model transfer, therefore, we suggest to split the case solution 4 to solution 4a and solution 4b.</w:t>
      </w:r>
    </w:p>
    <w:p>
      <w:pPr>
        <w:pStyle w:val="23"/>
        <w:spacing w:before="72" w:after="72"/>
      </w:pPr>
      <w:bookmarkStart w:id="9" w:name="_Toc32577"/>
      <w:r>
        <w:rPr>
          <w:rFonts w:hint="eastAsia"/>
          <w:i w:val="0"/>
        </w:rPr>
        <w:t>S</w:t>
      </w:r>
      <w:r>
        <w:rPr>
          <w:i w:val="0"/>
        </w:rPr>
        <w:t>plit the solution 4 to solution 4a and 4b:</w:t>
      </w:r>
      <w:bookmarkEnd w:id="9"/>
    </w:p>
    <w:p>
      <w:pPr>
        <w:pStyle w:val="23"/>
        <w:numPr>
          <w:ilvl w:val="0"/>
          <w:numId w:val="15"/>
        </w:numPr>
        <w:spacing w:before="72" w:after="72"/>
      </w:pPr>
      <w:bookmarkStart w:id="10" w:name="_Toc2111"/>
      <w:r>
        <w:rPr>
          <w:i w:val="0"/>
        </w:rPr>
        <w:t>Solution 4a: Server</w:t>
      </w:r>
      <w:r>
        <w:t xml:space="preserve"> </w:t>
      </w:r>
      <w:r>
        <w:rPr>
          <w:i w:val="0"/>
        </w:rPr>
        <w:t>(e.g. OTT server) can transfer/deliver model(s) to UE. (e.g. transparent to 3GPP)</w:t>
      </w:r>
      <w:bookmarkEnd w:id="10"/>
    </w:p>
    <w:p>
      <w:pPr>
        <w:pStyle w:val="23"/>
        <w:numPr>
          <w:ilvl w:val="0"/>
          <w:numId w:val="15"/>
        </w:numPr>
        <w:spacing w:before="72" w:after="72"/>
      </w:pPr>
      <w:bookmarkStart w:id="11" w:name="_Toc25700"/>
      <w:r>
        <w:rPr>
          <w:i w:val="0"/>
        </w:rPr>
        <w:t>Solution 4b: OAM can transfer/deliver the models to UE.</w:t>
      </w:r>
      <w:bookmarkEnd w:id="11"/>
    </w:p>
    <w:p>
      <w:pPr>
        <w:spacing w:before="120" w:after="120"/>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pPr>
        <w:pStyle w:val="11"/>
        <w:tabs>
          <w:tab w:val="right" w:leader="dot" w:pos="9660"/>
        </w:tabs>
      </w:pPr>
      <w:r>
        <w:rPr>
          <w:highlight w:val="yellow"/>
        </w:rPr>
        <w:fldChar w:fldCharType="begin"/>
      </w:r>
      <w:r>
        <w:rPr>
          <w:highlight w:val="yellow"/>
        </w:rPr>
        <w:instrText xml:space="preserve">TOC \n  \t "!ZTE-Observation-2021,1,sub-observation,2,3rd level observation,3" \h</w:instrText>
      </w:r>
      <w:r>
        <w:rPr>
          <w:highlight w:val="yellow"/>
        </w:rPr>
        <w:fldChar w:fldCharType="separate"/>
      </w:r>
      <w:r>
        <w:rPr>
          <w:highlight w:val="yellow"/>
        </w:rPr>
        <w:fldChar w:fldCharType="begin"/>
      </w:r>
      <w:r>
        <w:rPr>
          <w:highlight w:val="yellow"/>
        </w:rPr>
        <w:instrText xml:space="preserve"> HYPERLINK \l _Toc7444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14:shadow w14:blurRad="0" w14:dist="0" w14:dir="0" w14:sx="0" w14:sy="0" w14:kx="0" w14:ky="0" w14:algn="none">
            <w14:srgbClr w14:val="000000"/>
          </w14:shadow>
        </w:rPr>
        <w:t xml:space="preserve">Observation 1: </w:t>
      </w:r>
      <w:r>
        <w:t>It is FFS that CN is a logical entity mapping to the model training as well as model transfer between UE and CN.</w:t>
      </w:r>
      <w:r>
        <w:rPr>
          <w:highlight w:val="yellow"/>
        </w:rPr>
        <w:fldChar w:fldCharType="end"/>
      </w:r>
      <w:bookmarkStart w:id="12" w:name="_GoBack"/>
      <w:bookmarkEnd w:id="12"/>
    </w:p>
    <w:p>
      <w:pPr>
        <w:snapToGrid w:val="0"/>
        <w:spacing w:before="72" w:beforeLines="30" w:after="72" w:afterLines="30" w:line="288" w:lineRule="auto"/>
        <w:rPr>
          <w:rFonts w:eastAsia="微软雅黑"/>
          <w:highlight w:val="yellow"/>
        </w:rPr>
      </w:pPr>
      <w:r>
        <w:rPr>
          <w:highlight w:val="yellow"/>
        </w:rPr>
        <w:fldChar w:fldCharType="end"/>
      </w:r>
    </w:p>
    <w:p>
      <w:pPr>
        <w:pStyle w:val="11"/>
        <w:tabs>
          <w:tab w:val="right" w:leader="dot" w:pos="9660"/>
        </w:tabs>
      </w:pPr>
      <w:r>
        <w:rPr>
          <w:highlight w:val="yellow"/>
        </w:rPr>
        <w:fldChar w:fldCharType="begin"/>
      </w:r>
      <w:r>
        <w:rPr>
          <w:highlight w:val="yellow"/>
        </w:rPr>
        <w:instrText xml:space="preserve">TOC \n  \t "!ZTE-Proposal-2021 + 段前: 0.5 行 段后: 0.5 行,1,sub-proposal,2,3rd level proposal,3" \h</w:instrText>
      </w:r>
      <w:r>
        <w:rPr>
          <w:highlight w:val="yellow"/>
        </w:rPr>
        <w:fldChar w:fldCharType="separate"/>
      </w:r>
      <w:r>
        <w:rPr>
          <w:highlight w:val="yellow"/>
        </w:rPr>
        <w:fldChar w:fldCharType="begin"/>
      </w:r>
      <w:r>
        <w:rPr>
          <w:highlight w:val="yellow"/>
        </w:rPr>
        <w:instrText xml:space="preserve"> HYPERLINK \l _Toc3171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1: </w:t>
      </w:r>
      <w:r>
        <w:rPr>
          <w:i w:val="0"/>
        </w:rPr>
        <w:t>For solution 1a,</w:t>
      </w:r>
      <w:r>
        <w:t xml:space="preserve"> </w:t>
      </w:r>
      <w:r>
        <w:rPr>
          <w:i w:val="0"/>
        </w:rPr>
        <w:t>RAN2 assume the number of segments for UL/DL RRC message should be increased by taking the popular model size for each sub-use case in consideration.</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_Toc14859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2: </w:t>
      </w:r>
      <w:r>
        <w:rPr>
          <w:i w:val="0"/>
        </w:rPr>
        <w:t>For solution 1a, RAN2 assume a new SRB would be introduced for model transfer between UE and gNB.</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_Toc2948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3: </w:t>
      </w:r>
      <w:r>
        <w:rPr>
          <w:i w:val="0"/>
        </w:rPr>
        <w:t>In NR, the model transfer/delivery between UE and gNB via UP data is not supported.</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_Toc4344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4: </w:t>
      </w:r>
      <w:r>
        <w:rPr>
          <w:i w:val="0"/>
        </w:rPr>
        <w:t>the model transfer/delivery between UE and CN is deprioritized until the conclusion about the CN mapping to model training of AI based CSI/BM is reached.</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_Toc14193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5: </w:t>
      </w:r>
      <w:r>
        <w:rPr>
          <w:rFonts w:hint="eastAsia"/>
          <w:i w:val="0"/>
        </w:rPr>
        <w:t>R</w:t>
      </w:r>
      <w:r>
        <w:rPr>
          <w:i w:val="0"/>
        </w:rPr>
        <w:t>AN 2 assume the model transfer between UE and LMF via LPP signalling, if applicable, is supposed to be workable, and leave the detail discussion to SA2 in WI stage.</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_Toc29239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6: </w:t>
      </w:r>
      <w:r>
        <w:rPr>
          <w:rFonts w:hint="eastAsia"/>
          <w:i w:val="0"/>
        </w:rPr>
        <w:t>R</w:t>
      </w:r>
      <w:r>
        <w:rPr>
          <w:i w:val="0"/>
        </w:rPr>
        <w:t>AN 2 assumes the model transfer between UE and LMF via UP data, if applicable, is supposed to be workable, and leave the detail discussion to SA2 in WI stage.</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_Toc32577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7: </w:t>
      </w:r>
      <w:r>
        <w:rPr>
          <w:rFonts w:hint="eastAsia"/>
          <w:i w:val="0"/>
        </w:rPr>
        <w:t>S</w:t>
      </w:r>
      <w:r>
        <w:rPr>
          <w:i w:val="0"/>
        </w:rPr>
        <w:t>plit the solution 4 to solution 4a and 4b:</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_Toc2111 </w:instrText>
      </w:r>
      <w:r>
        <w:rPr>
          <w:highlight w:val="yellow"/>
        </w:rPr>
        <w:fldChar w:fldCharType="separate"/>
      </w:r>
      <w:r>
        <w:rPr>
          <w:rFonts w:hint="default" w:ascii="Times New Roman" w:hAnsi="Times New Roman" w:cs="Times New Roman" w:eastAsiaTheme="minorEastAsia"/>
        </w:rPr>
        <w:t xml:space="preserve">- </w:t>
      </w:r>
      <w:r>
        <w:rPr>
          <w:i w:val="0"/>
        </w:rPr>
        <w:t>Solution 4a: Server</w:t>
      </w:r>
      <w:r>
        <w:t xml:space="preserve"> </w:t>
      </w:r>
      <w:r>
        <w:rPr>
          <w:i w:val="0"/>
        </w:rPr>
        <w:t>(e.g. OTT server) can transfer/deliver model(s) to UE. (e.g. transparent to 3GPP)</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_Toc25700 </w:instrText>
      </w:r>
      <w:r>
        <w:rPr>
          <w:highlight w:val="yellow"/>
        </w:rPr>
        <w:fldChar w:fldCharType="separate"/>
      </w:r>
      <w:r>
        <w:rPr>
          <w:rFonts w:hint="default" w:ascii="Times New Roman" w:hAnsi="Times New Roman" w:cs="Times New Roman" w:eastAsiaTheme="minorEastAsia"/>
        </w:rPr>
        <w:t xml:space="preserve">- </w:t>
      </w:r>
      <w:r>
        <w:rPr>
          <w:i w:val="0"/>
        </w:rPr>
        <w:t>Solution 4b: OAM can transfer/deliver the models to UE.</w:t>
      </w:r>
      <w:r>
        <w:rPr>
          <w:highlight w:val="yellow"/>
        </w:rPr>
        <w:fldChar w:fldCharType="end"/>
      </w:r>
    </w:p>
    <w:p>
      <w:pPr>
        <w:spacing w:before="72" w:beforeLines="30" w:after="72" w:afterLines="30" w:line="288" w:lineRule="auto"/>
        <w:rPr>
          <w:highlight w:val="yellow"/>
        </w:rPr>
      </w:pPr>
      <w:r>
        <w:rPr>
          <w:highlight w:val="yellow"/>
        </w:rPr>
        <w:fldChar w:fldCharType="end"/>
      </w:r>
    </w:p>
    <w:p>
      <w:pPr>
        <w:spacing w:before="72" w:beforeLines="30" w:after="72" w:afterLines="30" w:line="288" w:lineRule="auto"/>
        <w:rPr>
          <w:rFonts w:eastAsiaTheme="minorEastAsia"/>
        </w:rPr>
      </w:pPr>
    </w:p>
    <w:p>
      <w:pPr>
        <w:pStyle w:val="2"/>
        <w:spacing w:before="72" w:beforeLines="30" w:after="72" w:afterLines="30" w:line="288" w:lineRule="auto"/>
        <w:rPr>
          <w:rFonts w:eastAsia="宋体"/>
        </w:rPr>
      </w:pPr>
      <w:r>
        <w:rPr>
          <w:rFonts w:hint="eastAsia" w:eastAsia="宋体"/>
        </w:rPr>
        <w:t>Reference</w:t>
      </w:r>
      <w:r>
        <w:rPr>
          <w:rFonts w:eastAsia="宋体"/>
        </w:rPr>
        <w:t>s</w:t>
      </w:r>
    </w:p>
    <w:p>
      <w:pPr>
        <w:spacing w:before="120" w:after="120"/>
        <w:rPr>
          <w:rFonts w:eastAsiaTheme="minorEastAsia"/>
        </w:rPr>
      </w:pPr>
      <w:r>
        <w:rPr>
          <w:rFonts w:hint="eastAsia" w:eastAsiaTheme="minorEastAsia"/>
        </w:rPr>
        <w:t>[</w:t>
      </w:r>
      <w:r>
        <w:rPr>
          <w:rFonts w:eastAsiaTheme="minorEastAsia"/>
        </w:rPr>
        <w:t>1] Report of [Post122][060][AIML] Mapping of functions to physical entities (CMCC)</w:t>
      </w:r>
    </w:p>
    <w:p>
      <w:pPr>
        <w:spacing w:before="120" w:after="120"/>
      </w:pP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26"/>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22"/>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0C7C25BD"/>
    <w:multiLevelType w:val="multilevel"/>
    <w:tmpl w:val="0C7C25BD"/>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E25C1A0"/>
    <w:multiLevelType w:val="singleLevel"/>
    <w:tmpl w:val="1E25C1A0"/>
    <w:lvl w:ilvl="0" w:tentative="0">
      <w:start w:val="1"/>
      <w:numFmt w:val="bullet"/>
      <w:pStyle w:val="29"/>
      <w:lvlText w:val="◦"/>
      <w:lvlJc w:val="left"/>
      <w:pPr>
        <w:ind w:left="420" w:hanging="420"/>
      </w:pPr>
      <w:rPr>
        <w:rFonts w:hint="default" w:ascii="Arial" w:hAnsi="Arial" w:cs="Arial"/>
      </w:rPr>
    </w:lvl>
  </w:abstractNum>
  <w:abstractNum w:abstractNumId="4">
    <w:nsid w:val="241795E7"/>
    <w:multiLevelType w:val="singleLevel"/>
    <w:tmpl w:val="241795E7"/>
    <w:lvl w:ilvl="0" w:tentative="0">
      <w:start w:val="1"/>
      <w:numFmt w:val="bullet"/>
      <w:pStyle w:val="28"/>
      <w:lvlText w:val="◦"/>
      <w:lvlJc w:val="left"/>
      <w:pPr>
        <w:ind w:left="420" w:hanging="420"/>
      </w:pPr>
      <w:rPr>
        <w:rFonts w:hint="default" w:ascii="Arial" w:hAnsi="Arial" w:cs="Arial"/>
      </w:rPr>
    </w:lvl>
  </w:abstractNum>
  <w:abstractNum w:abstractNumId="5">
    <w:nsid w:val="28544DF2"/>
    <w:multiLevelType w:val="singleLevel"/>
    <w:tmpl w:val="28544DF2"/>
    <w:lvl w:ilvl="0" w:tentative="0">
      <w:start w:val="1"/>
      <w:numFmt w:val="decimal"/>
      <w:pStyle w:val="49"/>
      <w:suff w:val="nothing"/>
      <w:lvlText w:val="Observation %1:"/>
      <w:lvlJc w:val="left"/>
      <w:pPr>
        <w:ind w:left="0" w:firstLine="403"/>
      </w:pPr>
      <w:rPr>
        <w:rFonts w:hint="default"/>
      </w:rPr>
    </w:lvl>
  </w:abstractNum>
  <w:abstractNum w:abstractNumId="6">
    <w:nsid w:val="3A854B1E"/>
    <w:multiLevelType w:val="multilevel"/>
    <w:tmpl w:val="3A854B1E"/>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8">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54713D2C"/>
    <w:multiLevelType w:val="singleLevel"/>
    <w:tmpl w:val="54713D2C"/>
    <w:lvl w:ilvl="0" w:tentative="0">
      <w:start w:val="1"/>
      <w:numFmt w:val="bullet"/>
      <w:pStyle w:val="27"/>
      <w:lvlText w:val="•"/>
      <w:lvlJc w:val="left"/>
      <w:pPr>
        <w:ind w:left="420" w:hanging="420"/>
      </w:pPr>
      <w:rPr>
        <w:rFonts w:hint="default" w:ascii="Arial" w:hAnsi="Arial" w:cs="Arial"/>
      </w:rPr>
    </w:lvl>
  </w:abstractNum>
  <w:abstractNum w:abstractNumId="10">
    <w:nsid w:val="556A0024"/>
    <w:multiLevelType w:val="multilevel"/>
    <w:tmpl w:val="556A002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D763755"/>
    <w:multiLevelType w:val="multilevel"/>
    <w:tmpl w:val="5D763755"/>
    <w:lvl w:ilvl="0" w:tentative="0">
      <w:start w:val="1"/>
      <w:numFmt w:val="decimal"/>
      <w:pStyle w:val="23"/>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2">
    <w:nsid w:val="6B8224FF"/>
    <w:multiLevelType w:val="multilevel"/>
    <w:tmpl w:val="6B8224F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0110F9F"/>
    <w:multiLevelType w:val="multilevel"/>
    <w:tmpl w:val="70110F9F"/>
    <w:lvl w:ilvl="0" w:tentative="0">
      <w:start w:val="1"/>
      <w:numFmt w:val="decimal"/>
      <w:pStyle w:val="2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4">
    <w:nsid w:val="70146DC0"/>
    <w:multiLevelType w:val="multilevel"/>
    <w:tmpl w:val="70146DC0"/>
    <w:lvl w:ilvl="0" w:tentative="0">
      <w:start w:val="1"/>
      <w:numFmt w:val="bullet"/>
      <w:pStyle w:val="50"/>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8"/>
  </w:num>
  <w:num w:numId="2">
    <w:abstractNumId w:val="1"/>
  </w:num>
  <w:num w:numId="3">
    <w:abstractNumId w:val="11"/>
  </w:num>
  <w:num w:numId="4">
    <w:abstractNumId w:val="13"/>
  </w:num>
  <w:num w:numId="5">
    <w:abstractNumId w:val="0"/>
  </w:num>
  <w:num w:numId="6">
    <w:abstractNumId w:val="9"/>
  </w:num>
  <w:num w:numId="7">
    <w:abstractNumId w:val="4"/>
  </w:num>
  <w:num w:numId="8">
    <w:abstractNumId w:val="3"/>
  </w:num>
  <w:num w:numId="9">
    <w:abstractNumId w:val="7"/>
  </w:num>
  <w:num w:numId="10">
    <w:abstractNumId w:val="5"/>
  </w:num>
  <w:num w:numId="11">
    <w:abstractNumId w:val="14"/>
  </w:num>
  <w:num w:numId="12">
    <w:abstractNumId w:val="6"/>
  </w:num>
  <w:num w:numId="13">
    <w:abstractNumId w:val="12"/>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215AB"/>
    <w:rsid w:val="0002205F"/>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68FE"/>
    <w:rsid w:val="0018673E"/>
    <w:rsid w:val="00187321"/>
    <w:rsid w:val="00193046"/>
    <w:rsid w:val="001A2BEB"/>
    <w:rsid w:val="001B502E"/>
    <w:rsid w:val="001E3384"/>
    <w:rsid w:val="00221F35"/>
    <w:rsid w:val="002376AE"/>
    <w:rsid w:val="00271AE3"/>
    <w:rsid w:val="00283AC3"/>
    <w:rsid w:val="00287778"/>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404DA5"/>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41474"/>
    <w:rsid w:val="00644DDC"/>
    <w:rsid w:val="00651C7E"/>
    <w:rsid w:val="006524E1"/>
    <w:rsid w:val="0066599E"/>
    <w:rsid w:val="006807E6"/>
    <w:rsid w:val="00691D2E"/>
    <w:rsid w:val="006B145B"/>
    <w:rsid w:val="006B60F5"/>
    <w:rsid w:val="006D0EA4"/>
    <w:rsid w:val="006F26CE"/>
    <w:rsid w:val="00713F6C"/>
    <w:rsid w:val="00724E53"/>
    <w:rsid w:val="00773968"/>
    <w:rsid w:val="00774664"/>
    <w:rsid w:val="007E7A15"/>
    <w:rsid w:val="007F3DCC"/>
    <w:rsid w:val="00820E09"/>
    <w:rsid w:val="008212F1"/>
    <w:rsid w:val="00827B07"/>
    <w:rsid w:val="008503AC"/>
    <w:rsid w:val="0086109C"/>
    <w:rsid w:val="00885FE5"/>
    <w:rsid w:val="00890F3B"/>
    <w:rsid w:val="008A1EED"/>
    <w:rsid w:val="008A2E93"/>
    <w:rsid w:val="008B5FA9"/>
    <w:rsid w:val="008D19DE"/>
    <w:rsid w:val="008D304B"/>
    <w:rsid w:val="008D3B0B"/>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50C9F"/>
    <w:rsid w:val="00B66CB1"/>
    <w:rsid w:val="00B764C8"/>
    <w:rsid w:val="00B8129D"/>
    <w:rsid w:val="00BA3F20"/>
    <w:rsid w:val="00BB0B7F"/>
    <w:rsid w:val="00BB6518"/>
    <w:rsid w:val="00BD6330"/>
    <w:rsid w:val="00BF10A3"/>
    <w:rsid w:val="00C11946"/>
    <w:rsid w:val="00C155C1"/>
    <w:rsid w:val="00C202A3"/>
    <w:rsid w:val="00C5672F"/>
    <w:rsid w:val="00C6294E"/>
    <w:rsid w:val="00C71AAD"/>
    <w:rsid w:val="00CB4CA6"/>
    <w:rsid w:val="00CB6631"/>
    <w:rsid w:val="00CE1D22"/>
    <w:rsid w:val="00CE2B6B"/>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638F"/>
    <w:rsid w:val="00E74F94"/>
    <w:rsid w:val="00EA2F70"/>
    <w:rsid w:val="00EA4204"/>
    <w:rsid w:val="00EA5E9B"/>
    <w:rsid w:val="00EB50B5"/>
    <w:rsid w:val="00EB7B8C"/>
    <w:rsid w:val="00EE5F9D"/>
    <w:rsid w:val="00EF473E"/>
    <w:rsid w:val="00F0703E"/>
    <w:rsid w:val="00F24223"/>
    <w:rsid w:val="00F33F85"/>
    <w:rsid w:val="00F471FA"/>
    <w:rsid w:val="00F4751E"/>
    <w:rsid w:val="00F509E9"/>
    <w:rsid w:val="00F60665"/>
    <w:rsid w:val="00F65BA8"/>
    <w:rsid w:val="00F65D73"/>
    <w:rsid w:val="00F821A9"/>
    <w:rsid w:val="00FA1D4B"/>
    <w:rsid w:val="00FB4228"/>
    <w:rsid w:val="00FB5803"/>
    <w:rsid w:val="00FC6E1D"/>
    <w:rsid w:val="00FD2DE4"/>
    <w:rsid w:val="00FE287B"/>
    <w:rsid w:val="00FE3A28"/>
    <w:rsid w:val="00FF38B8"/>
    <w:rsid w:val="01764F01"/>
    <w:rsid w:val="020F66B2"/>
    <w:rsid w:val="024D6B6A"/>
    <w:rsid w:val="029010D5"/>
    <w:rsid w:val="029B04E7"/>
    <w:rsid w:val="03072F19"/>
    <w:rsid w:val="03073BDC"/>
    <w:rsid w:val="030C5976"/>
    <w:rsid w:val="033F44DC"/>
    <w:rsid w:val="0381701C"/>
    <w:rsid w:val="043168B5"/>
    <w:rsid w:val="04DA33A7"/>
    <w:rsid w:val="0555228E"/>
    <w:rsid w:val="057D6C1A"/>
    <w:rsid w:val="059D1E39"/>
    <w:rsid w:val="05E078B3"/>
    <w:rsid w:val="06533D31"/>
    <w:rsid w:val="077D0583"/>
    <w:rsid w:val="079724D0"/>
    <w:rsid w:val="082A352F"/>
    <w:rsid w:val="084D7D75"/>
    <w:rsid w:val="085310AF"/>
    <w:rsid w:val="08C349D1"/>
    <w:rsid w:val="08FD1F99"/>
    <w:rsid w:val="095C4FB4"/>
    <w:rsid w:val="09F67CD5"/>
    <w:rsid w:val="0A9724B3"/>
    <w:rsid w:val="0AC167FE"/>
    <w:rsid w:val="0B584155"/>
    <w:rsid w:val="0B9E71DF"/>
    <w:rsid w:val="0C9D30C2"/>
    <w:rsid w:val="0D2242B0"/>
    <w:rsid w:val="0D9D65F4"/>
    <w:rsid w:val="0DE91C8A"/>
    <w:rsid w:val="0E172BD0"/>
    <w:rsid w:val="0EDF02B5"/>
    <w:rsid w:val="0F7716EA"/>
    <w:rsid w:val="100D6188"/>
    <w:rsid w:val="10505D93"/>
    <w:rsid w:val="106D269D"/>
    <w:rsid w:val="10936355"/>
    <w:rsid w:val="10A50104"/>
    <w:rsid w:val="115B3410"/>
    <w:rsid w:val="119D7849"/>
    <w:rsid w:val="1242135C"/>
    <w:rsid w:val="12F33A2A"/>
    <w:rsid w:val="13A1683F"/>
    <w:rsid w:val="14960C8D"/>
    <w:rsid w:val="14DA3DA1"/>
    <w:rsid w:val="152D3980"/>
    <w:rsid w:val="168C722A"/>
    <w:rsid w:val="17155857"/>
    <w:rsid w:val="17950508"/>
    <w:rsid w:val="17AD7BB9"/>
    <w:rsid w:val="17C01C99"/>
    <w:rsid w:val="18677125"/>
    <w:rsid w:val="18B4714D"/>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CC26CA"/>
    <w:rsid w:val="1CE76586"/>
    <w:rsid w:val="1E056606"/>
    <w:rsid w:val="1E7A1BD5"/>
    <w:rsid w:val="1E9D6342"/>
    <w:rsid w:val="1EAE7285"/>
    <w:rsid w:val="1EBD2365"/>
    <w:rsid w:val="1EC1716C"/>
    <w:rsid w:val="1ECA5C70"/>
    <w:rsid w:val="204E6676"/>
    <w:rsid w:val="20766689"/>
    <w:rsid w:val="214F70E4"/>
    <w:rsid w:val="2195668B"/>
    <w:rsid w:val="21962F88"/>
    <w:rsid w:val="21BE5AD4"/>
    <w:rsid w:val="21CA1BB1"/>
    <w:rsid w:val="21F128CC"/>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F1251F2"/>
    <w:rsid w:val="30962F3E"/>
    <w:rsid w:val="30D17E68"/>
    <w:rsid w:val="30FF2795"/>
    <w:rsid w:val="3283370E"/>
    <w:rsid w:val="329A6ACE"/>
    <w:rsid w:val="33607071"/>
    <w:rsid w:val="338D7587"/>
    <w:rsid w:val="359547E0"/>
    <w:rsid w:val="35EB3B29"/>
    <w:rsid w:val="360B1D73"/>
    <w:rsid w:val="361F3323"/>
    <w:rsid w:val="36A04581"/>
    <w:rsid w:val="36E93760"/>
    <w:rsid w:val="37305077"/>
    <w:rsid w:val="37453535"/>
    <w:rsid w:val="377E620D"/>
    <w:rsid w:val="3784394E"/>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15300D"/>
    <w:rsid w:val="455B0E88"/>
    <w:rsid w:val="45BE6191"/>
    <w:rsid w:val="45F4123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C0F10"/>
    <w:rsid w:val="52195EDF"/>
    <w:rsid w:val="52313387"/>
    <w:rsid w:val="52595E1D"/>
    <w:rsid w:val="5283747E"/>
    <w:rsid w:val="529F0593"/>
    <w:rsid w:val="52B05355"/>
    <w:rsid w:val="52C104ED"/>
    <w:rsid w:val="52E04D27"/>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A256629"/>
    <w:rsid w:val="5A683F99"/>
    <w:rsid w:val="5A7C7F4E"/>
    <w:rsid w:val="5ACF0F3A"/>
    <w:rsid w:val="5B3917E9"/>
    <w:rsid w:val="5BED6C94"/>
    <w:rsid w:val="5C6B1600"/>
    <w:rsid w:val="5C921AD0"/>
    <w:rsid w:val="5DFD51DB"/>
    <w:rsid w:val="5E0D36E5"/>
    <w:rsid w:val="5E7F7360"/>
    <w:rsid w:val="5EB903DA"/>
    <w:rsid w:val="5F501BDB"/>
    <w:rsid w:val="5FF53D41"/>
    <w:rsid w:val="60140907"/>
    <w:rsid w:val="60642278"/>
    <w:rsid w:val="607C3753"/>
    <w:rsid w:val="60C30855"/>
    <w:rsid w:val="61421EFD"/>
    <w:rsid w:val="615C5041"/>
    <w:rsid w:val="61C736BE"/>
    <w:rsid w:val="63372785"/>
    <w:rsid w:val="64934878"/>
    <w:rsid w:val="64DA1397"/>
    <w:rsid w:val="65967AC8"/>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C89456C"/>
    <w:rsid w:val="6D663271"/>
    <w:rsid w:val="6D9B5DDA"/>
    <w:rsid w:val="6F901B66"/>
    <w:rsid w:val="6FA629D4"/>
    <w:rsid w:val="6FC05247"/>
    <w:rsid w:val="6FD10552"/>
    <w:rsid w:val="6FEC35B1"/>
    <w:rsid w:val="705D6B36"/>
    <w:rsid w:val="70602E31"/>
    <w:rsid w:val="70912EBC"/>
    <w:rsid w:val="70BB2EF0"/>
    <w:rsid w:val="71811486"/>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5D48D0"/>
    <w:rsid w:val="777E145F"/>
    <w:rsid w:val="77A1150C"/>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6"/>
    <w:basedOn w:val="1"/>
    <w:next w:val="1"/>
    <w:link w:val="52"/>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7">
    <w:name w:val="toc 3"/>
    <w:basedOn w:val="1"/>
    <w:next w:val="1"/>
    <w:link w:val="41"/>
    <w:unhideWhenUsed/>
    <w:qFormat/>
    <w:uiPriority w:val="39"/>
    <w:pPr>
      <w:ind w:left="880" w:leftChars="400"/>
    </w:pPr>
    <w:rPr>
      <w:b/>
      <w:i/>
    </w:rPr>
  </w:style>
  <w:style w:type="paragraph" w:styleId="8">
    <w:name w:val="Balloon Text"/>
    <w:basedOn w:val="1"/>
    <w:link w:val="21"/>
    <w:semiHidden/>
    <w:unhideWhenUsed/>
    <w:qFormat/>
    <w:uiPriority w:val="99"/>
    <w:rPr>
      <w:sz w:val="18"/>
      <w:szCs w:val="18"/>
    </w:rPr>
  </w:style>
  <w:style w:type="paragraph" w:styleId="9">
    <w:name w:val="footer"/>
    <w:basedOn w:val="1"/>
    <w:link w:val="48"/>
    <w:unhideWhenUsed/>
    <w:qFormat/>
    <w:uiPriority w:val="99"/>
    <w:pPr>
      <w:tabs>
        <w:tab w:val="center" w:pos="4153"/>
        <w:tab w:val="right" w:pos="8306"/>
      </w:tabs>
      <w:snapToGrid w:val="0"/>
    </w:pPr>
    <w:rPr>
      <w:sz w:val="18"/>
      <w:szCs w:val="18"/>
    </w:rPr>
  </w:style>
  <w:style w:type="paragraph" w:styleId="10">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5"/>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8"/>
    <w:unhideWhenUsed/>
    <w:qFormat/>
    <w:uiPriority w:val="39"/>
    <w:pPr>
      <w:snapToGrid w:val="0"/>
      <w:ind w:left="618" w:leftChars="200"/>
    </w:pPr>
    <w:rPr>
      <w:b/>
      <w:i/>
    </w:rPr>
  </w:style>
  <w:style w:type="paragraph" w:styleId="14">
    <w:name w:val="Normal (Web)"/>
    <w:unhideWhenUsed/>
    <w:qFormat/>
    <w:uiPriority w:val="99"/>
    <w:rPr>
      <w:rFonts w:ascii="Times New Roman" w:hAnsi="Times New Roman" w:eastAsia="宋体" w:cs="Times New Roman"/>
      <w:sz w:val="24"/>
      <w:lang w:val="en-GB" w:eastAsia="en-US" w:bidi="ar-SA"/>
    </w:rPr>
  </w:style>
  <w:style w:type="table" w:styleId="1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8">
    <w:name w:val="page number"/>
    <w:basedOn w:val="17"/>
    <w:semiHidden/>
    <w:qFormat/>
    <w:uiPriority w:val="0"/>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styleId="20">
    <w:name w:val="annotation reference"/>
    <w:basedOn w:val="17"/>
    <w:qFormat/>
    <w:uiPriority w:val="0"/>
    <w:rPr>
      <w:sz w:val="16"/>
      <w:szCs w:val="16"/>
    </w:rPr>
  </w:style>
  <w:style w:type="character" w:customStyle="1" w:styleId="21">
    <w:name w:val="批注框文本 字符"/>
    <w:basedOn w:val="17"/>
    <w:link w:val="8"/>
    <w:semiHidden/>
    <w:qFormat/>
    <w:uiPriority w:val="99"/>
    <w:rPr>
      <w:rFonts w:eastAsia="Times New Roman"/>
      <w:kern w:val="2"/>
      <w:sz w:val="18"/>
      <w:szCs w:val="18"/>
    </w:rPr>
  </w:style>
  <w:style w:type="paragraph" w:customStyle="1" w:styleId="22">
    <w:name w:val="Proposal"/>
    <w:basedOn w:val="1"/>
    <w:link w:val="57"/>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23">
    <w:name w:val="!ZTE-Proposal-2021 + 段前: 0.5 行 段后: 0.5 行"/>
    <w:basedOn w:val="1"/>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2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5">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26">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27">
    <w:name w:val="sub-observation"/>
    <w:basedOn w:val="26"/>
    <w:qFormat/>
    <w:uiPriority w:val="0"/>
    <w:pPr>
      <w:numPr>
        <w:ilvl w:val="0"/>
        <w:numId w:val="6"/>
      </w:numPr>
      <w:ind w:left="0" w:firstLine="0"/>
    </w:pPr>
    <w:rPr>
      <w:rFonts w:eastAsia="宋体"/>
    </w:rPr>
  </w:style>
  <w:style w:type="paragraph" w:customStyle="1" w:styleId="28">
    <w:name w:val="3rd level proposal"/>
    <w:basedOn w:val="26"/>
    <w:qFormat/>
    <w:uiPriority w:val="0"/>
    <w:pPr>
      <w:numPr>
        <w:ilvl w:val="0"/>
        <w:numId w:val="7"/>
      </w:numPr>
      <w:ind w:left="627" w:leftChars="200" w:firstLine="0"/>
    </w:pPr>
  </w:style>
  <w:style w:type="paragraph" w:customStyle="1" w:styleId="29">
    <w:name w:val="3rd level observation"/>
    <w:basedOn w:val="27"/>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0">
    <w:name w:val="References"/>
    <w:basedOn w:val="1"/>
    <w:qFormat/>
    <w:uiPriority w:val="0"/>
    <w:pPr>
      <w:numPr>
        <w:ilvl w:val="0"/>
        <w:numId w:val="9"/>
      </w:numPr>
      <w:spacing w:after="60"/>
    </w:pPr>
    <w:rPr>
      <w:szCs w:val="16"/>
    </w:rPr>
  </w:style>
  <w:style w:type="paragraph" w:styleId="31">
    <w:name w:val="List Paragraph"/>
    <w:basedOn w:val="1"/>
    <w:qFormat/>
    <w:uiPriority w:val="99"/>
    <w:pPr>
      <w:spacing w:beforeLines="0"/>
      <w:ind w:left="720"/>
      <w:contextualSpacing/>
    </w:pPr>
    <w:rPr>
      <w:sz w:val="24"/>
      <w:szCs w:val="24"/>
    </w:rPr>
  </w:style>
  <w:style w:type="character" w:customStyle="1" w:styleId="32">
    <w:name w:val="页眉 字符"/>
    <w:basedOn w:val="17"/>
    <w:link w:val="10"/>
    <w:qFormat/>
    <w:uiPriority w:val="99"/>
    <w:rPr>
      <w:rFonts w:eastAsia="Times New Roman"/>
      <w:kern w:val="2"/>
      <w:sz w:val="18"/>
      <w:szCs w:val="18"/>
    </w:rPr>
  </w:style>
  <w:style w:type="paragraph" w:customStyle="1" w:styleId="33">
    <w:name w:val="ZTE-C-proposal"/>
    <w:basedOn w:val="11"/>
    <w:link w:val="36"/>
    <w:qFormat/>
    <w:uiPriority w:val="0"/>
    <w:pPr>
      <w:spacing w:before="120" w:after="120"/>
      <w:ind w:left="1104" w:hanging="1104" w:hangingChars="550"/>
    </w:pPr>
  </w:style>
  <w:style w:type="paragraph" w:customStyle="1" w:styleId="34">
    <w:name w:val="ZTE-C-subProposal"/>
    <w:basedOn w:val="13"/>
    <w:link w:val="39"/>
    <w:qFormat/>
    <w:uiPriority w:val="0"/>
    <w:pPr>
      <w:tabs>
        <w:tab w:val="left" w:pos="993"/>
        <w:tab w:val="right" w:leader="dot" w:pos="9650"/>
      </w:tabs>
      <w:spacing w:before="120" w:after="120"/>
      <w:ind w:left="708" w:leftChars="354"/>
    </w:pPr>
  </w:style>
  <w:style w:type="character" w:customStyle="1" w:styleId="35">
    <w:name w:val="TOC 1 字符"/>
    <w:basedOn w:val="17"/>
    <w:link w:val="11"/>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7"/>
    <w:link w:val="42"/>
    <w:qFormat/>
    <w:uiPriority w:val="0"/>
    <w:pPr>
      <w:tabs>
        <w:tab w:val="left" w:pos="1276"/>
        <w:tab w:val="right" w:leader="dot" w:pos="9650"/>
      </w:tabs>
      <w:spacing w:before="120" w:after="120"/>
      <w:ind w:left="1134" w:leftChars="567"/>
    </w:pPr>
  </w:style>
  <w:style w:type="character" w:customStyle="1" w:styleId="38">
    <w:name w:val="TOC 2 字符"/>
    <w:basedOn w:val="17"/>
    <w:link w:val="13"/>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1"/>
    <w:link w:val="44"/>
    <w:qFormat/>
    <w:uiPriority w:val="0"/>
    <w:pPr>
      <w:tabs>
        <w:tab w:val="left" w:pos="1470"/>
        <w:tab w:val="right" w:pos="9650"/>
      </w:tabs>
      <w:spacing w:before="120" w:after="120"/>
      <w:ind w:left="1273" w:hanging="1273" w:hangingChars="634"/>
    </w:pPr>
  </w:style>
  <w:style w:type="character" w:customStyle="1" w:styleId="41">
    <w:name w:val="TOC 3 字符"/>
    <w:basedOn w:val="17"/>
    <w:link w:val="7"/>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3"/>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7"/>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字符"/>
    <w:basedOn w:val="17"/>
    <w:link w:val="9"/>
    <w:qFormat/>
    <w:uiPriority w:val="99"/>
    <w:rPr>
      <w:rFonts w:eastAsia="Times New Roman"/>
      <w:kern w:val="2"/>
      <w:sz w:val="18"/>
      <w:szCs w:val="18"/>
    </w:rPr>
  </w:style>
  <w:style w:type="paragraph" w:customStyle="1" w:styleId="49">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0">
    <w:name w:val="Agreement"/>
    <w:basedOn w:val="1"/>
    <w:next w:val="51"/>
    <w:qFormat/>
    <w:uiPriority w:val="99"/>
    <w:pPr>
      <w:numPr>
        <w:ilvl w:val="0"/>
        <w:numId w:val="11"/>
      </w:numPr>
      <w:tabs>
        <w:tab w:val="left" w:pos="1619"/>
        <w:tab w:val="clear" w:pos="364"/>
      </w:tabs>
      <w:spacing w:before="60"/>
    </w:pPr>
    <w:rPr>
      <w:b/>
    </w:rPr>
  </w:style>
  <w:style w:type="paragraph" w:customStyle="1" w:styleId="51">
    <w:name w:val="Doc-text2"/>
    <w:basedOn w:val="1"/>
    <w:qFormat/>
    <w:uiPriority w:val="0"/>
    <w:pPr>
      <w:tabs>
        <w:tab w:val="left" w:pos="1622"/>
      </w:tabs>
      <w:ind w:left="1622" w:hanging="363"/>
    </w:pPr>
  </w:style>
  <w:style w:type="character" w:customStyle="1" w:styleId="52">
    <w:name w:val="标题 6 字符"/>
    <w:basedOn w:val="17"/>
    <w:link w:val="5"/>
    <w:semiHidden/>
    <w:qFormat/>
    <w:uiPriority w:val="99"/>
    <w:rPr>
      <w:rFonts w:asciiTheme="majorHAnsi" w:hAnsiTheme="majorHAnsi" w:eastAsiaTheme="majorEastAsia" w:cstheme="majorBidi"/>
      <w:b/>
      <w:bCs/>
      <w:kern w:val="2"/>
      <w:sz w:val="24"/>
      <w:szCs w:val="24"/>
    </w:rPr>
  </w:style>
  <w:style w:type="paragraph" w:customStyle="1" w:styleId="53">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54">
    <w:name w:val="网格型浅色1"/>
    <w:basedOn w:val="1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55">
    <w:name w:val="列表段落1"/>
    <w:basedOn w:val="1"/>
    <w:qFormat/>
    <w:uiPriority w:val="0"/>
    <w:pPr>
      <w:spacing w:beforeLines="0"/>
      <w:ind w:left="720"/>
      <w:contextualSpacing/>
    </w:pPr>
    <w:rPr>
      <w:rFonts w:eastAsia="宋体"/>
      <w:sz w:val="24"/>
      <w:szCs w:val="24"/>
    </w:rPr>
  </w:style>
  <w:style w:type="paragraph" w:customStyle="1" w:styleId="56">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57">
    <w:name w:val="Proposal 字符"/>
    <w:basedOn w:val="17"/>
    <w:link w:val="22"/>
    <w:qFormat/>
    <w:uiPriority w:val="0"/>
    <w:rPr>
      <w:rFonts w:ascii="Times New Roman" w:hAnsi="Times New Roman" w:eastAsia="Times New Roman" w:cs="Times New Roman"/>
      <w:b/>
      <w:bCs/>
      <w:i/>
      <w:iCs/>
      <w:kern w:val="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49982-DD9C-4B3B-A9E4-CA3C634AE72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1722</Words>
  <Characters>9819</Characters>
  <Lines>81</Lines>
  <Paragraphs>23</Paragraphs>
  <TotalTime>0</TotalTime>
  <ScaleCrop>false</ScaleCrop>
  <LinksUpToDate>false</LinksUpToDate>
  <CharactersWithSpaces>11518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2023-09-29T04:01:10Z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